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i w:val="1"/>
          <w:color w:val="202020"/>
          <w:sz w:val="24"/>
          <w:szCs w:val="24"/>
        </w:rPr>
      </w:pPr>
      <w:r w:rsidDel="00000000" w:rsidR="00000000" w:rsidRPr="00000000">
        <w:rPr>
          <w:rFonts w:ascii="Times New Roman" w:cs="Times New Roman" w:eastAsia="Times New Roman" w:hAnsi="Times New Roman"/>
          <w:b w:val="1"/>
          <w:color w:val="202020"/>
          <w:sz w:val="24"/>
          <w:szCs w:val="24"/>
          <w:rtl w:val="0"/>
        </w:rPr>
        <w:t xml:space="preserve">Appel à contribution pour les </w:t>
      </w:r>
      <w:r w:rsidDel="00000000" w:rsidR="00000000" w:rsidRPr="00000000">
        <w:rPr>
          <w:rFonts w:ascii="Times New Roman" w:cs="Times New Roman" w:eastAsia="Times New Roman" w:hAnsi="Times New Roman"/>
          <w:b w:val="1"/>
          <w:i w:val="1"/>
          <w:color w:val="202020"/>
          <w:sz w:val="24"/>
          <w:szCs w:val="24"/>
          <w:rtl w:val="0"/>
        </w:rPr>
        <w:t xml:space="preserve">Cahiers de l’AQPF</w:t>
      </w:r>
    </w:p>
    <w:p w:rsidR="00000000" w:rsidDel="00000000" w:rsidP="00000000" w:rsidRDefault="00000000" w:rsidRPr="00000000" w14:paraId="00000002">
      <w:pPr>
        <w:jc w:val="center"/>
        <w:rPr>
          <w:rFonts w:ascii="Times New Roman" w:cs="Times New Roman" w:eastAsia="Times New Roman" w:hAnsi="Times New Roman"/>
          <w:b w:val="1"/>
          <w:color w:val="202020"/>
          <w:sz w:val="24"/>
          <w:szCs w:val="24"/>
        </w:rPr>
      </w:pPr>
      <w:r w:rsidDel="00000000" w:rsidR="00000000" w:rsidRPr="00000000">
        <w:rPr>
          <w:rFonts w:ascii="Times New Roman" w:cs="Times New Roman" w:eastAsia="Times New Roman" w:hAnsi="Times New Roman"/>
          <w:b w:val="1"/>
          <w:color w:val="202020"/>
          <w:sz w:val="24"/>
          <w:szCs w:val="24"/>
          <w:rtl w:val="0"/>
        </w:rPr>
        <w:t xml:space="preserve">Volume 16, numéro 1</w:t>
      </w:r>
    </w:p>
    <w:p w:rsidR="00000000" w:rsidDel="00000000" w:rsidP="00000000" w:rsidRDefault="00000000" w:rsidRPr="00000000" w14:paraId="00000003">
      <w:pPr>
        <w:jc w:val="both"/>
        <w:rPr>
          <w:rFonts w:ascii="Times New Roman" w:cs="Times New Roman" w:eastAsia="Times New Roman" w:hAnsi="Times New Roman"/>
          <w:color w:val="202020"/>
          <w:sz w:val="24"/>
          <w:szCs w:val="24"/>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color w:val="202020"/>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color w:val="202020"/>
          <w:sz w:val="24"/>
          <w:szCs w:val="24"/>
        </w:rPr>
      </w:pPr>
      <w:r w:rsidDel="00000000" w:rsidR="00000000" w:rsidRPr="00000000">
        <w:rPr>
          <w:rFonts w:ascii="Times New Roman" w:cs="Times New Roman" w:eastAsia="Times New Roman" w:hAnsi="Times New Roman"/>
          <w:color w:val="202020"/>
          <w:sz w:val="24"/>
          <w:szCs w:val="24"/>
          <w:rtl w:val="0"/>
        </w:rPr>
        <w:t xml:space="preserve">Pour son numéro du printemps 2025, les </w:t>
      </w:r>
      <w:r w:rsidDel="00000000" w:rsidR="00000000" w:rsidRPr="00000000">
        <w:rPr>
          <w:rFonts w:ascii="Times New Roman" w:cs="Times New Roman" w:eastAsia="Times New Roman" w:hAnsi="Times New Roman"/>
          <w:i w:val="1"/>
          <w:color w:val="202020"/>
          <w:sz w:val="24"/>
          <w:szCs w:val="24"/>
          <w:rtl w:val="0"/>
        </w:rPr>
        <w:t xml:space="preserve">Cahiers de l’AQPF </w:t>
      </w:r>
      <w:r w:rsidDel="00000000" w:rsidR="00000000" w:rsidRPr="00000000">
        <w:rPr>
          <w:rFonts w:ascii="Times New Roman" w:cs="Times New Roman" w:eastAsia="Times New Roman" w:hAnsi="Times New Roman"/>
          <w:color w:val="202020"/>
          <w:sz w:val="24"/>
          <w:szCs w:val="24"/>
          <w:rtl w:val="0"/>
        </w:rPr>
        <w:t xml:space="preserve">souhaite recevoir des articles de </w:t>
      </w:r>
      <w:r w:rsidDel="00000000" w:rsidR="00000000" w:rsidRPr="00000000">
        <w:rPr>
          <w:rFonts w:ascii="Times New Roman" w:cs="Times New Roman" w:eastAsia="Times New Roman" w:hAnsi="Times New Roman"/>
          <w:b w:val="1"/>
          <w:color w:val="202020"/>
          <w:sz w:val="24"/>
          <w:szCs w:val="24"/>
          <w:rtl w:val="0"/>
        </w:rPr>
        <w:t xml:space="preserve">recherche vulgarisée</w:t>
      </w:r>
      <w:r w:rsidDel="00000000" w:rsidR="00000000" w:rsidRPr="00000000">
        <w:rPr>
          <w:rFonts w:ascii="Times New Roman" w:cs="Times New Roman" w:eastAsia="Times New Roman" w:hAnsi="Times New Roman"/>
          <w:color w:val="202020"/>
          <w:sz w:val="24"/>
          <w:szCs w:val="24"/>
          <w:rtl w:val="0"/>
        </w:rPr>
        <w:t xml:space="preserve">, des textes qui décrivent des </w:t>
      </w:r>
      <w:r w:rsidDel="00000000" w:rsidR="00000000" w:rsidRPr="00000000">
        <w:rPr>
          <w:rFonts w:ascii="Times New Roman" w:cs="Times New Roman" w:eastAsia="Times New Roman" w:hAnsi="Times New Roman"/>
          <w:b w:val="1"/>
          <w:color w:val="202020"/>
          <w:sz w:val="24"/>
          <w:szCs w:val="24"/>
          <w:rtl w:val="0"/>
        </w:rPr>
        <w:t xml:space="preserve">expérimentations</w:t>
      </w:r>
      <w:r w:rsidDel="00000000" w:rsidR="00000000" w:rsidRPr="00000000">
        <w:rPr>
          <w:rFonts w:ascii="Times New Roman" w:cs="Times New Roman" w:eastAsia="Times New Roman" w:hAnsi="Times New Roman"/>
          <w:color w:val="202020"/>
          <w:sz w:val="24"/>
          <w:szCs w:val="24"/>
          <w:rtl w:val="0"/>
        </w:rPr>
        <w:t xml:space="preserve"> réalisées en contexte scolaire ou des </w:t>
      </w:r>
      <w:r w:rsidDel="00000000" w:rsidR="00000000" w:rsidRPr="00000000">
        <w:rPr>
          <w:rFonts w:ascii="Times New Roman" w:cs="Times New Roman" w:eastAsia="Times New Roman" w:hAnsi="Times New Roman"/>
          <w:b w:val="1"/>
          <w:color w:val="202020"/>
          <w:sz w:val="24"/>
          <w:szCs w:val="24"/>
          <w:rtl w:val="0"/>
        </w:rPr>
        <w:t xml:space="preserve">chroniques</w:t>
      </w:r>
      <w:r w:rsidDel="00000000" w:rsidR="00000000" w:rsidRPr="00000000">
        <w:rPr>
          <w:rFonts w:ascii="Times New Roman" w:cs="Times New Roman" w:eastAsia="Times New Roman" w:hAnsi="Times New Roman"/>
          <w:color w:val="202020"/>
          <w:sz w:val="24"/>
          <w:szCs w:val="24"/>
          <w:rtl w:val="0"/>
        </w:rPr>
        <w:t xml:space="preserve"> qui mettent de l’avant l’enseignement de la langue et dont l’orientation spécifique aborde les projets réalisés en classe auprès des élèves ou des étudiant.es. Chacune des contributions sera d’une longueur d’environ 9000 signes, espaces comprises.</w:t>
      </w:r>
    </w:p>
    <w:p w:rsidR="00000000" w:rsidDel="00000000" w:rsidP="00000000" w:rsidRDefault="00000000" w:rsidRPr="00000000" w14:paraId="00000006">
      <w:pPr>
        <w:jc w:val="both"/>
        <w:rPr>
          <w:rFonts w:ascii="Times New Roman" w:cs="Times New Roman" w:eastAsia="Times New Roman" w:hAnsi="Times New Roman"/>
          <w:color w:val="202020"/>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color w:val="202020"/>
          <w:sz w:val="24"/>
          <w:szCs w:val="24"/>
        </w:rPr>
      </w:pPr>
      <w:r w:rsidDel="00000000" w:rsidR="00000000" w:rsidRPr="00000000">
        <w:rPr>
          <w:rFonts w:ascii="Times New Roman" w:cs="Times New Roman" w:eastAsia="Times New Roman" w:hAnsi="Times New Roman"/>
          <w:color w:val="202020"/>
          <w:sz w:val="24"/>
          <w:szCs w:val="24"/>
          <w:rtl w:val="0"/>
        </w:rPr>
        <w:t xml:space="preserve">Les contributions attendues portent sur la valorisation de la langue française et sur des dispositifs qui s’inscrivent dans une réflexion visant à enrichir les pratiques enseignantes, en répondant aux besoins renouvelés des pédagogues et de leurs élèves ou de leurs étudiant.es. </w:t>
      </w:r>
    </w:p>
    <w:p w:rsidR="00000000" w:rsidDel="00000000" w:rsidP="00000000" w:rsidRDefault="00000000" w:rsidRPr="00000000" w14:paraId="00000008">
      <w:pPr>
        <w:jc w:val="both"/>
        <w:rPr>
          <w:rFonts w:ascii="Times New Roman" w:cs="Times New Roman" w:eastAsia="Times New Roman" w:hAnsi="Times New Roman"/>
          <w:color w:val="202020"/>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b w:val="1"/>
          <w:color w:val="202020"/>
          <w:sz w:val="24"/>
          <w:szCs w:val="24"/>
        </w:rPr>
      </w:pPr>
      <w:r w:rsidDel="00000000" w:rsidR="00000000" w:rsidRPr="00000000">
        <w:rPr>
          <w:rFonts w:ascii="Times New Roman" w:cs="Times New Roman" w:eastAsia="Times New Roman" w:hAnsi="Times New Roman"/>
          <w:color w:val="202020"/>
          <w:sz w:val="24"/>
          <w:szCs w:val="24"/>
          <w:rtl w:val="0"/>
        </w:rPr>
        <w:t xml:space="preserve">Plus spécifiquement, et au sortir du succès du congrès qui s’est tenu à Trois-Rivières en novembre dernier, et dont la thématique était l</w:t>
      </w:r>
      <w:r w:rsidDel="00000000" w:rsidR="00000000" w:rsidRPr="00000000">
        <w:rPr>
          <w:rFonts w:ascii="Times New Roman" w:cs="Times New Roman" w:eastAsia="Times New Roman" w:hAnsi="Times New Roman"/>
          <w:i w:val="1"/>
          <w:color w:val="202020"/>
          <w:sz w:val="24"/>
          <w:szCs w:val="24"/>
          <w:rtl w:val="0"/>
        </w:rPr>
        <w:t xml:space="preserve">’élève au coeur de</w:t>
      </w:r>
      <w:r w:rsidDel="00000000" w:rsidR="00000000" w:rsidRPr="00000000">
        <w:rPr>
          <w:rFonts w:ascii="Times New Roman" w:cs="Times New Roman" w:eastAsia="Times New Roman" w:hAnsi="Times New Roman"/>
          <w:color w:val="202020"/>
          <w:sz w:val="24"/>
          <w:szCs w:val="24"/>
          <w:rtl w:val="0"/>
        </w:rPr>
        <w:t xml:space="preserve">…, le comité éditorial souhaite accueillir des propositions </w:t>
      </w:r>
      <w:r w:rsidDel="00000000" w:rsidR="00000000" w:rsidRPr="00000000">
        <w:rPr>
          <w:rFonts w:ascii="Times New Roman" w:cs="Times New Roman" w:eastAsia="Times New Roman" w:hAnsi="Times New Roman"/>
          <w:b w:val="1"/>
          <w:color w:val="202020"/>
          <w:sz w:val="24"/>
          <w:szCs w:val="24"/>
          <w:rtl w:val="0"/>
        </w:rPr>
        <w:t xml:space="preserve">qui mettent à profit des stratégies, des pratiques ou des dispositifs qui priorisent le rôle et la place de l’élève dans les apprentissages.</w:t>
      </w:r>
      <w:r w:rsidDel="00000000" w:rsidR="00000000" w:rsidRPr="00000000">
        <w:rPr>
          <w:rFonts w:ascii="Times New Roman" w:cs="Times New Roman" w:eastAsia="Times New Roman" w:hAnsi="Times New Roman"/>
          <w:color w:val="202020"/>
          <w:sz w:val="24"/>
          <w:szCs w:val="24"/>
          <w:rtl w:val="0"/>
        </w:rPr>
        <w:t xml:space="preserve"> Le nouveau référentiel de compétences professionnelles oriente les horizons des professionnel.les de l’enseignement autour de trois principes, le premier étant </w:t>
      </w:r>
      <w:r w:rsidDel="00000000" w:rsidR="00000000" w:rsidRPr="00000000">
        <w:rPr>
          <w:rFonts w:ascii="Times New Roman" w:cs="Times New Roman" w:eastAsia="Times New Roman" w:hAnsi="Times New Roman"/>
          <w:i w:val="1"/>
          <w:color w:val="202020"/>
          <w:sz w:val="24"/>
          <w:szCs w:val="24"/>
          <w:rtl w:val="0"/>
        </w:rPr>
        <w:t xml:space="preserve">Agir pour l’éducation et l’apprentissage des élèves. </w:t>
      </w:r>
      <w:r w:rsidDel="00000000" w:rsidR="00000000" w:rsidRPr="00000000">
        <w:rPr>
          <w:rFonts w:ascii="Times New Roman" w:cs="Times New Roman" w:eastAsia="Times New Roman" w:hAnsi="Times New Roman"/>
          <w:color w:val="202020"/>
          <w:sz w:val="24"/>
          <w:szCs w:val="24"/>
          <w:rtl w:val="0"/>
        </w:rPr>
        <w:t xml:space="preserve">À travers ce principe, il fera bon s’interroger sur notre rôle en tant que modèle auprès des élèves, sur les tâches qui leur sont proposées afin de favoriser la motivation et d’entretenir leur motivation à </w:t>
      </w:r>
      <w:r w:rsidDel="00000000" w:rsidR="00000000" w:rsidRPr="00000000">
        <w:rPr>
          <w:rFonts w:ascii="Times New Roman" w:cs="Times New Roman" w:eastAsia="Times New Roman" w:hAnsi="Times New Roman"/>
          <w:b w:val="1"/>
          <w:color w:val="202020"/>
          <w:sz w:val="24"/>
          <w:szCs w:val="24"/>
          <w:rtl w:val="0"/>
        </w:rPr>
        <w:t xml:space="preserve">l'apprentissage du français en considérant l’hétérogénéité des publics. </w:t>
      </w:r>
    </w:p>
    <w:p w:rsidR="00000000" w:rsidDel="00000000" w:rsidP="00000000" w:rsidRDefault="00000000" w:rsidRPr="00000000" w14:paraId="0000000A">
      <w:pPr>
        <w:spacing w:after="150" w:before="150" w:lineRule="auto"/>
        <w:rPr>
          <w:rFonts w:ascii="Times New Roman" w:cs="Times New Roman" w:eastAsia="Times New Roman" w:hAnsi="Times New Roman"/>
          <w:color w:val="232327"/>
          <w:sz w:val="24"/>
          <w:szCs w:val="24"/>
        </w:rPr>
      </w:pPr>
      <w:r w:rsidDel="00000000" w:rsidR="00000000" w:rsidRPr="00000000">
        <w:rPr>
          <w:rFonts w:ascii="Times New Roman" w:cs="Times New Roman" w:eastAsia="Times New Roman" w:hAnsi="Times New Roman"/>
          <w:color w:val="232327"/>
          <w:sz w:val="24"/>
          <w:szCs w:val="24"/>
          <w:rtl w:val="0"/>
        </w:rPr>
        <w:t xml:space="preserve">Vous pouvez soumettre une contribution dans l’une des rubriques suivantes :</w:t>
      </w:r>
    </w:p>
    <w:p w:rsidR="00000000" w:rsidDel="00000000" w:rsidP="00000000" w:rsidRDefault="00000000" w:rsidRPr="00000000" w14:paraId="0000000B">
      <w:pPr>
        <w:spacing w:after="150" w:before="150" w:lineRule="auto"/>
        <w:rPr>
          <w:rFonts w:ascii="Times New Roman" w:cs="Times New Roman" w:eastAsia="Times New Roman" w:hAnsi="Times New Roman"/>
          <w:color w:val="232327"/>
          <w:sz w:val="24"/>
          <w:szCs w:val="24"/>
        </w:rPr>
      </w:pPr>
      <w:r w:rsidDel="00000000" w:rsidR="00000000" w:rsidRPr="00000000">
        <w:rPr>
          <w:rFonts w:ascii="Times New Roman" w:cs="Times New Roman" w:eastAsia="Times New Roman" w:hAnsi="Times New Roman"/>
          <w:color w:val="232327"/>
          <w:sz w:val="24"/>
          <w:szCs w:val="24"/>
          <w:rtl w:val="0"/>
        </w:rPr>
        <w:t xml:space="preserve">1) Expérimentation ;</w:t>
      </w:r>
    </w:p>
    <w:p w:rsidR="00000000" w:rsidDel="00000000" w:rsidP="00000000" w:rsidRDefault="00000000" w:rsidRPr="00000000" w14:paraId="0000000C">
      <w:pPr>
        <w:spacing w:after="150" w:before="150" w:lineRule="auto"/>
        <w:rPr>
          <w:rFonts w:ascii="Times New Roman" w:cs="Times New Roman" w:eastAsia="Times New Roman" w:hAnsi="Times New Roman"/>
          <w:color w:val="232327"/>
          <w:sz w:val="24"/>
          <w:szCs w:val="24"/>
        </w:rPr>
      </w:pPr>
      <w:r w:rsidDel="00000000" w:rsidR="00000000" w:rsidRPr="00000000">
        <w:rPr>
          <w:rFonts w:ascii="Times New Roman" w:cs="Times New Roman" w:eastAsia="Times New Roman" w:hAnsi="Times New Roman"/>
          <w:color w:val="232327"/>
          <w:sz w:val="24"/>
          <w:szCs w:val="24"/>
          <w:rtl w:val="0"/>
        </w:rPr>
        <w:t xml:space="preserve">2) Issu de la recherche ;</w:t>
      </w:r>
    </w:p>
    <w:p w:rsidR="00000000" w:rsidDel="00000000" w:rsidP="00000000" w:rsidRDefault="00000000" w:rsidRPr="00000000" w14:paraId="0000000D">
      <w:pPr>
        <w:spacing w:after="150" w:before="150" w:lineRule="auto"/>
        <w:rPr>
          <w:rFonts w:ascii="Times New Roman" w:cs="Times New Roman" w:eastAsia="Times New Roman" w:hAnsi="Times New Roman"/>
          <w:color w:val="232327"/>
          <w:sz w:val="24"/>
          <w:szCs w:val="24"/>
        </w:rPr>
      </w:pPr>
      <w:r w:rsidDel="00000000" w:rsidR="00000000" w:rsidRPr="00000000">
        <w:rPr>
          <w:rFonts w:ascii="Times New Roman" w:cs="Times New Roman" w:eastAsia="Times New Roman" w:hAnsi="Times New Roman"/>
          <w:color w:val="232327"/>
          <w:sz w:val="24"/>
          <w:szCs w:val="24"/>
          <w:rtl w:val="0"/>
        </w:rPr>
        <w:t xml:space="preserve">3) Chronique sur des thématiques liées à l’enseignement du français, incluant l’utilisation pédagogique d’œuvre jeunesse.</w:t>
      </w:r>
    </w:p>
    <w:p w:rsidR="00000000" w:rsidDel="00000000" w:rsidP="00000000" w:rsidRDefault="00000000" w:rsidRPr="00000000" w14:paraId="0000000E">
      <w:pPr>
        <w:spacing w:after="150" w:before="150" w:lineRule="auto"/>
        <w:rPr>
          <w:rFonts w:ascii="Times New Roman" w:cs="Times New Roman" w:eastAsia="Times New Roman" w:hAnsi="Times New Roman"/>
          <w:color w:val="232327"/>
          <w:sz w:val="24"/>
          <w:szCs w:val="24"/>
        </w:rPr>
      </w:pPr>
      <w:r w:rsidDel="00000000" w:rsidR="00000000" w:rsidRPr="00000000">
        <w:rPr>
          <w:rtl w:val="0"/>
        </w:rPr>
      </w:r>
    </w:p>
    <w:p w:rsidR="00000000" w:rsidDel="00000000" w:rsidP="00000000" w:rsidRDefault="00000000" w:rsidRPr="00000000" w14:paraId="0000000F">
      <w:pPr>
        <w:spacing w:after="150" w:before="150" w:lineRule="auto"/>
        <w:jc w:val="both"/>
        <w:rPr>
          <w:rFonts w:ascii="Times New Roman" w:cs="Times New Roman" w:eastAsia="Times New Roman" w:hAnsi="Times New Roman"/>
          <w:color w:val="232327"/>
          <w:sz w:val="24"/>
          <w:szCs w:val="24"/>
        </w:rPr>
      </w:pPr>
      <w:r w:rsidDel="00000000" w:rsidR="00000000" w:rsidRPr="00000000">
        <w:rPr>
          <w:rFonts w:ascii="Times New Roman" w:cs="Times New Roman" w:eastAsia="Times New Roman" w:hAnsi="Times New Roman"/>
          <w:sz w:val="24"/>
          <w:szCs w:val="24"/>
          <w:rtl w:val="0"/>
        </w:rPr>
        <w:t xml:space="preserve">Avant d’écrire un article pour les </w:t>
      </w:r>
      <w:r w:rsidDel="00000000" w:rsidR="00000000" w:rsidRPr="00000000">
        <w:rPr>
          <w:rFonts w:ascii="Times New Roman" w:cs="Times New Roman" w:eastAsia="Times New Roman" w:hAnsi="Times New Roman"/>
          <w:i w:val="1"/>
          <w:sz w:val="24"/>
          <w:szCs w:val="24"/>
          <w:rtl w:val="0"/>
        </w:rPr>
        <w:t xml:space="preserve">Cahiers de l’AQPF</w:t>
      </w:r>
      <w:r w:rsidDel="00000000" w:rsidR="00000000" w:rsidRPr="00000000">
        <w:rPr>
          <w:rFonts w:ascii="Times New Roman" w:cs="Times New Roman" w:eastAsia="Times New Roman" w:hAnsi="Times New Roman"/>
          <w:sz w:val="24"/>
          <w:szCs w:val="24"/>
          <w:rtl w:val="0"/>
        </w:rPr>
        <w:t xml:space="preserve">, nous vous invitons à lire attentivement les </w:t>
      </w:r>
      <w:hyperlink r:id="rId7">
        <w:r w:rsidDel="00000000" w:rsidR="00000000" w:rsidRPr="00000000">
          <w:rPr>
            <w:rFonts w:ascii="Times New Roman" w:cs="Times New Roman" w:eastAsia="Times New Roman" w:hAnsi="Times New Roman"/>
            <w:color w:val="0000ff"/>
            <w:sz w:val="24"/>
            <w:szCs w:val="24"/>
            <w:u w:val="single"/>
            <w:rtl w:val="0"/>
          </w:rPr>
          <w:t xml:space="preserve">Consignes éditoriales</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color w:val="202020"/>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 contributions sont attendues pour le </w:t>
      </w:r>
      <w:r w:rsidDel="00000000" w:rsidR="00000000" w:rsidRPr="00000000">
        <w:rPr>
          <w:rFonts w:ascii="Times New Roman" w:cs="Times New Roman" w:eastAsia="Times New Roman" w:hAnsi="Times New Roman"/>
          <w:b w:val="1"/>
          <w:sz w:val="24"/>
          <w:szCs w:val="24"/>
          <w:rtl w:val="0"/>
        </w:rPr>
        <w:t xml:space="preserve">17 mars 2025</w:t>
      </w:r>
      <w:r w:rsidDel="00000000" w:rsidR="00000000" w:rsidRPr="00000000">
        <w:rPr>
          <w:rFonts w:ascii="Times New Roman" w:cs="Times New Roman" w:eastAsia="Times New Roman" w:hAnsi="Times New Roman"/>
          <w:sz w:val="24"/>
          <w:szCs w:val="24"/>
          <w:rtl w:val="0"/>
        </w:rPr>
        <w:t xml:space="preserve">, à l’adresse suivante : </w:t>
      </w:r>
      <w:hyperlink r:id="rId8">
        <w:r w:rsidDel="00000000" w:rsidR="00000000" w:rsidRPr="00000000">
          <w:rPr>
            <w:rFonts w:ascii="Times New Roman" w:cs="Times New Roman" w:eastAsia="Times New Roman" w:hAnsi="Times New Roman"/>
            <w:color w:val="0000ff"/>
            <w:sz w:val="24"/>
            <w:szCs w:val="24"/>
            <w:u w:val="single"/>
            <w:rtl w:val="0"/>
          </w:rPr>
          <w:t xml:space="preserve">allen.nancy@uquam.ca</w:t>
        </w:r>
      </w:hyperlink>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publication des </w:t>
      </w:r>
      <w:r w:rsidDel="00000000" w:rsidR="00000000" w:rsidRPr="00000000">
        <w:rPr>
          <w:rFonts w:ascii="Times New Roman" w:cs="Times New Roman" w:eastAsia="Times New Roman" w:hAnsi="Times New Roman"/>
          <w:i w:val="1"/>
          <w:sz w:val="24"/>
          <w:szCs w:val="24"/>
          <w:rtl w:val="0"/>
        </w:rPr>
        <w:t xml:space="preserve">Cahiers de l’AQPF</w:t>
      </w:r>
      <w:r w:rsidDel="00000000" w:rsidR="00000000" w:rsidRPr="00000000">
        <w:rPr>
          <w:rFonts w:ascii="Times New Roman" w:cs="Times New Roman" w:eastAsia="Times New Roman" w:hAnsi="Times New Roman"/>
          <w:sz w:val="24"/>
          <w:szCs w:val="24"/>
          <w:rtl w:val="0"/>
        </w:rPr>
        <w:t xml:space="preserve"> aura lieu au printemps 2025.</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itre1">
    <w:name w:val="heading 1"/>
    <w:basedOn w:val="Normal"/>
    <w:next w:val="Normal"/>
    <w:uiPriority w:val="9"/>
    <w:qFormat w:val="1"/>
    <w:pPr>
      <w:keepNext w:val="1"/>
      <w:keepLines w:val="1"/>
      <w:spacing w:after="120" w:before="480"/>
      <w:outlineLvl w:val="0"/>
    </w:pPr>
    <w:rPr>
      <w:b w:val="1"/>
      <w:sz w:val="48"/>
      <w:szCs w:val="48"/>
    </w:rPr>
  </w:style>
  <w:style w:type="paragraph" w:styleId="Titre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itre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itre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itre5">
    <w:name w:val="heading 5"/>
    <w:basedOn w:val="Normal"/>
    <w:next w:val="Normal"/>
    <w:uiPriority w:val="9"/>
    <w:semiHidden w:val="1"/>
    <w:unhideWhenUsed w:val="1"/>
    <w:qFormat w:val="1"/>
    <w:pPr>
      <w:keepNext w:val="1"/>
      <w:keepLines w:val="1"/>
      <w:spacing w:after="40" w:before="220"/>
      <w:outlineLvl w:val="4"/>
    </w:pPr>
    <w:rPr>
      <w:b w:val="1"/>
    </w:rPr>
  </w:style>
  <w:style w:type="paragraph" w:styleId="Titre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re">
    <w:name w:val="Title"/>
    <w:basedOn w:val="Normal"/>
    <w:next w:val="Normal"/>
    <w:uiPriority w:val="10"/>
    <w:qFormat w:val="1"/>
    <w:pPr>
      <w:keepNext w:val="1"/>
      <w:keepLines w:val="1"/>
      <w:spacing w:after="120" w:before="480"/>
    </w:pPr>
    <w:rPr>
      <w:b w:val="1"/>
      <w:sz w:val="72"/>
      <w:szCs w:val="72"/>
    </w:rPr>
  </w:style>
  <w:style w:type="paragraph" w:styleId="Sous-titr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Commentaire">
    <w:name w:val="annotation text"/>
    <w:basedOn w:val="Normal"/>
    <w:link w:val="CommentaireCar"/>
    <w:uiPriority w:val="99"/>
    <w:semiHidden w:val="1"/>
    <w:unhideWhenUsed w:val="1"/>
    <w:rPr>
      <w:sz w:val="20"/>
      <w:szCs w:val="20"/>
    </w:rPr>
  </w:style>
  <w:style w:type="character" w:styleId="CommentaireCar" w:customStyle="1">
    <w:name w:val="Commentaire Car"/>
    <w:basedOn w:val="Policepardfaut"/>
    <w:link w:val="Commentaire"/>
    <w:uiPriority w:val="99"/>
    <w:semiHidden w:val="1"/>
    <w:rPr>
      <w:sz w:val="20"/>
      <w:szCs w:val="20"/>
    </w:rPr>
  </w:style>
  <w:style w:type="character" w:styleId="Marquedecommentaire">
    <w:name w:val="annotation reference"/>
    <w:basedOn w:val="Policepardfaut"/>
    <w:uiPriority w:val="99"/>
    <w:semiHidden w:val="1"/>
    <w:unhideWhenUsed w:val="1"/>
    <w:rPr>
      <w:sz w:val="16"/>
      <w:szCs w:val="16"/>
    </w:rPr>
  </w:style>
  <w:style w:type="character" w:styleId="Hyperlien">
    <w:name w:val="Hyperlink"/>
    <w:basedOn w:val="Policepardfaut"/>
    <w:uiPriority w:val="99"/>
    <w:unhideWhenUsed w:val="1"/>
    <w:rsid w:val="001E7423"/>
    <w:rPr>
      <w:color w:val="0000ff" w:themeColor="hyperlink"/>
      <w:u w:val="single"/>
    </w:rPr>
  </w:style>
  <w:style w:type="character" w:styleId="Mentionnonrsolue">
    <w:name w:val="Unresolved Mention"/>
    <w:basedOn w:val="Policepardfaut"/>
    <w:uiPriority w:val="99"/>
    <w:semiHidden w:val="1"/>
    <w:unhideWhenUsed w:val="1"/>
    <w:rsid w:val="001E7423"/>
    <w:rPr>
      <w:color w:val="605e5c"/>
      <w:shd w:color="auto" w:fill="e1dfdd" w:val="clear"/>
    </w:rPr>
  </w:style>
  <w:style w:type="character" w:styleId="Lienvisit">
    <w:name w:val="FollowedHyperlink"/>
    <w:basedOn w:val="Policepardfaut"/>
    <w:uiPriority w:val="99"/>
    <w:semiHidden w:val="1"/>
    <w:unhideWhenUsed w:val="1"/>
    <w:rsid w:val="00E974B8"/>
    <w:rPr>
      <w:color w:val="800080"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qpfvideo.nyc3.digitaloceanspaces.com/wp-content/uploads/2022/06/08085448/Consignes-editoriales.pdf" TargetMode="External"/><Relationship Id="rId8" Type="http://schemas.openxmlformats.org/officeDocument/2006/relationships/hyperlink" Target="mailto:allen.nancy@uquam.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tVvS0qIDBvOGJVrLk/UbqGoibg==">CgMxLjA4AHIhMXNoRlp4a1lvMmxJUkxlMTlrb25HY3VDNk44ZjhKUmp2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2023-12-08T16:00:00Z</dcterms:created>
</cp:coreProperties>
</file>